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A4" w:rsidRDefault="00E225A4">
      <w:pPr>
        <w:rPr>
          <w:color w:val="676767"/>
        </w:rPr>
      </w:pPr>
    </w:p>
    <w:p w:rsidR="00A75978" w:rsidRPr="00A75978" w:rsidRDefault="00A75978" w:rsidP="00A75978">
      <w:pPr>
        <w:rPr>
          <w:b/>
          <w:color w:val="676767"/>
          <w:sz w:val="32"/>
        </w:rPr>
      </w:pPr>
      <w:r>
        <w:rPr>
          <w:b/>
          <w:color w:val="676767"/>
          <w:sz w:val="32"/>
        </w:rPr>
        <w:t xml:space="preserve">Garantie des tapis</w:t>
      </w:r>
    </w:p>
    <w:p w:rsidR="00A75978" w:rsidRPr="00A75978" w:rsidRDefault="00A75978" w:rsidP="00A75978">
      <w:pPr>
        <w:rPr>
          <w:color w:val="676767"/>
        </w:rPr>
      </w:pPr>
      <w:r>
        <w:rPr>
          <w:color w:val="676767"/>
        </w:rPr>
        <w:t xml:space="preserve">Annexe A :</w:t>
      </w:r>
    </w:p>
    <w:p w:rsidR="00A75978" w:rsidRPr="00A75978" w:rsidRDefault="00A75978" w:rsidP="00936FAA">
      <w:pPr>
        <w:pStyle w:val="NoSpacing"/>
      </w:pPr>
    </w:p>
    <w:p w:rsidR="00A75978" w:rsidRDefault="00A75978" w:rsidP="00A75978">
      <w:pPr>
        <w:rPr>
          <w:color w:val="676767"/>
        </w:rPr>
      </w:pPr>
      <w:r>
        <w:rPr>
          <w:color w:val="676767"/>
        </w:rPr>
        <w:t xml:space="preserve">La présente liste comprend des descriptions de ce que Kleen-Tex définit comme des défauts de fabrication ou des défauts esthétiques acceptables.</w:t>
      </w:r>
    </w:p>
    <w:p w:rsidR="00A629D5" w:rsidRPr="00A75978" w:rsidRDefault="00A629D5" w:rsidP="00936FAA">
      <w:pPr>
        <w:pStyle w:val="NoSpacing"/>
      </w:pPr>
    </w:p>
    <w:p w:rsidR="00A75978" w:rsidRDefault="00A75978" w:rsidP="00A75978">
      <w:pPr>
        <w:rPr>
          <w:b/>
          <w:color w:val="676767"/>
        </w:rPr>
      </w:pPr>
      <w:r>
        <w:rPr>
          <w:b/>
          <w:color w:val="676767"/>
        </w:rPr>
        <w:t xml:space="preserve">Défauts inacceptables : ceux-ci feront l’objet d’une réclamation de la part du client</w:t>
      </w:r>
    </w:p>
    <w:p w:rsidR="00A629D5" w:rsidRPr="00A629D5" w:rsidRDefault="00A629D5" w:rsidP="00A75978">
      <w:pPr>
        <w:rPr>
          <w:b/>
          <w:color w:val="676767"/>
        </w:rPr>
      </w:pPr>
    </w:p>
    <w:p w:rsidR="00A75978" w:rsidRDefault="00A75978" w:rsidP="00A75978">
      <w:pPr>
        <w:pStyle w:val="ListParagraph"/>
        <w:numPr>
          <w:ilvl w:val="0"/>
          <w:numId w:val="5"/>
        </w:numPr>
        <w:rPr>
          <w:color w:val="676767"/>
        </w:rPr>
      </w:pPr>
      <w:r>
        <w:rPr>
          <w:color w:val="676767"/>
        </w:rPr>
        <w:t xml:space="preserve">Écart de dimensions supérieur à ± 5 %</w:t>
      </w:r>
    </w:p>
    <w:p w:rsidR="00936FAA" w:rsidRPr="00936FAA" w:rsidRDefault="00936FAA" w:rsidP="00936FAA">
      <w:pPr>
        <w:pStyle w:val="ListParagraph"/>
        <w:ind w:left="360"/>
        <w:rPr>
          <w:color w:val="676767"/>
        </w:rPr>
      </w:pPr>
    </w:p>
    <w:p w:rsidR="00A75978" w:rsidRPr="00A629D5" w:rsidRDefault="00A75978" w:rsidP="00A629D5">
      <w:pPr>
        <w:pStyle w:val="ListParagraph"/>
        <w:numPr>
          <w:ilvl w:val="0"/>
          <w:numId w:val="5"/>
        </w:numPr>
        <w:rPr>
          <w:color w:val="676767"/>
        </w:rPr>
      </w:pPr>
      <w:r>
        <w:rPr>
          <w:color w:val="676767"/>
        </w:rPr>
        <w:t xml:space="preserve">Épaisseur du bord :</w:t>
      </w:r>
    </w:p>
    <w:p w:rsidR="00A75978" w:rsidRPr="00A629D5" w:rsidRDefault="00A75978" w:rsidP="000E7723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>
        <w:rPr>
          <w:color w:val="676767"/>
        </w:rPr>
        <w:t xml:space="preserve">pour les tapis en caoutchouc de 0,9 mm : moins de 1,7 mm ou plus de 2,3 mm ;</w:t>
      </w:r>
    </w:p>
    <w:p w:rsidR="00A75978" w:rsidRPr="00A629D5" w:rsidRDefault="00A75978" w:rsidP="000E7723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>
        <w:rPr>
          <w:color w:val="676767"/>
        </w:rPr>
        <w:t xml:space="preserve">pour les tapis en caoutchouc de 1,4 mm : moins de 2,2 mm ou plus de 2,8 mm ;</w:t>
      </w:r>
    </w:p>
    <w:p w:rsidR="00A75978" w:rsidRPr="00A629D5" w:rsidRDefault="00A75978" w:rsidP="000E7723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>
        <w:rPr>
          <w:color w:val="676767"/>
        </w:rPr>
        <w:t xml:space="preserve">pour les tapis en caoutchouc de 1,8 mm : moins de 2,6 mm ou plus de 3,2 mm ;</w:t>
      </w:r>
    </w:p>
    <w:p w:rsidR="00A75978" w:rsidRPr="00A629D5" w:rsidRDefault="00A75978" w:rsidP="000E7723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>
        <w:rPr>
          <w:color w:val="676767"/>
        </w:rPr>
        <w:t xml:space="preserve">pour les tapis en caoutchouc de 2,8 mm : moins de 3,6 mm ou plus de 4,2 mm ;</w:t>
      </w:r>
    </w:p>
    <w:p w:rsidR="00A629D5" w:rsidRDefault="00A75978" w:rsidP="000E7723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>
        <w:rPr>
          <w:color w:val="676767"/>
        </w:rPr>
        <w:t xml:space="preserve">pour les tapis en caoutchouc de 3,6 mm : moins de 3,3 mm ou plus de 4,0 mm.</w:t>
      </w:r>
    </w:p>
    <w:p w:rsidR="00936FAA" w:rsidRPr="00A629D5" w:rsidRDefault="00936FAA" w:rsidP="00936FAA">
      <w:pPr>
        <w:pStyle w:val="ListParagraph"/>
        <w:ind w:left="360"/>
        <w:rPr>
          <w:color w:val="676767"/>
        </w:rPr>
      </w:pPr>
    </w:p>
    <w:p w:rsidR="00A75978" w:rsidRDefault="00A75978" w:rsidP="00A629D5">
      <w:pPr>
        <w:pStyle w:val="ListParagraph"/>
        <w:numPr>
          <w:ilvl w:val="0"/>
          <w:numId w:val="5"/>
        </w:numPr>
        <w:rPr>
          <w:color w:val="676767"/>
        </w:rPr>
      </w:pPr>
      <w:r>
        <w:rPr>
          <w:color w:val="676767"/>
        </w:rPr>
        <w:t xml:space="preserve">Écarts de largeur du bord de plus de 2 mm</w:t>
      </w:r>
    </w:p>
    <w:p w:rsidR="00936FAA" w:rsidRPr="00A629D5" w:rsidRDefault="00936FAA" w:rsidP="00936FAA">
      <w:pPr>
        <w:pStyle w:val="ListParagraph"/>
        <w:ind w:left="360"/>
        <w:rPr>
          <w:color w:val="676767"/>
        </w:rPr>
      </w:pPr>
    </w:p>
    <w:p w:rsidR="00A629D5" w:rsidRDefault="00A629D5" w:rsidP="00A629D5">
      <w:pPr>
        <w:pStyle w:val="ListParagraph"/>
        <w:numPr>
          <w:ilvl w:val="0"/>
          <w:numId w:val="5"/>
        </w:numPr>
        <w:rPr>
          <w:color w:val="676767"/>
        </w:rPr>
      </w:pPr>
      <w:r>
        <w:rPr>
          <w:color w:val="676767"/>
        </w:rPr>
        <w:t xml:space="preserve">Largeur du bord :</w:t>
      </w:r>
    </w:p>
    <w:p w:rsidR="00A75978" w:rsidRPr="00936FAA" w:rsidRDefault="000E7723" w:rsidP="000E7723">
      <w:pPr>
        <w:pStyle w:val="KT-Paragraph"/>
        <w:numPr>
          <w:ilvl w:val="1"/>
          <w:numId w:val="5"/>
        </w:numPr>
        <w:ind w:left="1276" w:hanging="567"/>
        <w:jc w:val="left"/>
        <w:rPr>
          <w:color w:val="767171" w:themeColor="background2" w:themeShade="80"/>
        </w:rPr>
      </w:pPr>
      <w:r>
        <w:rPr>
          <w:color w:val="767171" w:themeColor="background2" w:themeShade="80"/>
        </w:rPr>
        <w:t xml:space="preserve">pour les tapis avec un bord de 20 mm de large : moins de 18 mm ou plus de 22 mm ;</w:t>
      </w:r>
    </w:p>
    <w:p w:rsidR="00A629D5" w:rsidRDefault="000E7723" w:rsidP="000E7723">
      <w:pPr>
        <w:pStyle w:val="ListParagraph"/>
        <w:numPr>
          <w:ilvl w:val="1"/>
          <w:numId w:val="5"/>
        </w:numPr>
        <w:ind w:left="1276" w:hanging="567"/>
        <w:rPr>
          <w:color w:val="676767"/>
        </w:rPr>
      </w:pPr>
      <w:r>
        <w:rPr>
          <w:color w:val="676767"/>
        </w:rPr>
        <w:t xml:space="preserve">pour les tapis avec un bord de 10 mm de large : moins de 9 mm ou plus de 11 mm.</w:t>
      </w:r>
    </w:p>
    <w:p w:rsidR="000E7723" w:rsidRPr="000E7723" w:rsidRDefault="000E7723" w:rsidP="000E7723">
      <w:pPr>
        <w:pStyle w:val="ListParagraph"/>
        <w:ind w:left="792"/>
        <w:rPr>
          <w:color w:val="676767"/>
        </w:rPr>
      </w:pPr>
    </w:p>
    <w:p w:rsidR="00A75978" w:rsidRPr="00A629D5" w:rsidRDefault="00A75978" w:rsidP="00A629D5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>
        <w:rPr>
          <w:color w:val="676767"/>
        </w:rPr>
        <w:t xml:space="preserve">Profondes rainures et marques à la surface des bords</w:t>
      </w:r>
    </w:p>
    <w:p w:rsidR="00A75978" w:rsidRPr="00A629D5" w:rsidRDefault="00A75978" w:rsidP="00A629D5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>
        <w:rPr>
          <w:color w:val="676767"/>
        </w:rPr>
        <w:t xml:space="preserve">Profondes rainures et marques sur la semelle du tapis</w:t>
      </w:r>
    </w:p>
    <w:p w:rsidR="00A75978" w:rsidRPr="00A629D5" w:rsidRDefault="00A75978" w:rsidP="00A629D5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>
        <w:rPr>
          <w:color w:val="676767"/>
        </w:rPr>
        <w:t xml:space="preserve">Découpes le long du bord</w:t>
      </w:r>
    </w:p>
    <w:p w:rsidR="00A75978" w:rsidRPr="00A629D5" w:rsidRDefault="00A75978" w:rsidP="00A629D5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>
        <w:rPr>
          <w:color w:val="676767"/>
        </w:rPr>
        <w:t xml:space="preserve">Non-adhésion du tissu au caoutchouc ; le fil peut être enlevé avec les doigts</w:t>
      </w:r>
    </w:p>
    <w:p w:rsidR="00A75978" w:rsidRPr="00A629D5" w:rsidRDefault="00A75978" w:rsidP="00A629D5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>
        <w:rPr>
          <w:color w:val="676767"/>
        </w:rPr>
        <w:t xml:space="preserve">Le caoutchouc n’est pas complètement vulcanisé ; après avoir appuyé sur le tapis avec l’ongle, il reste une trace de renfoncement</w:t>
      </w:r>
    </w:p>
    <w:p w:rsidR="00A75978" w:rsidRPr="00A629D5" w:rsidRDefault="00A75978" w:rsidP="00A629D5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>
        <w:rPr>
          <w:color w:val="676767"/>
        </w:rPr>
        <w:t xml:space="preserve">Caoutchouc sous-vulcanisé ; le caoutchouc peut être étiré à la main</w:t>
      </w:r>
    </w:p>
    <w:p w:rsidR="00A75978" w:rsidRPr="00A629D5" w:rsidRDefault="00A75978" w:rsidP="00A629D5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>
        <w:rPr>
          <w:color w:val="676767"/>
        </w:rPr>
        <w:t xml:space="preserve">Aucune attache Velcro ou aucune attache Velcro jointe à la commande</w:t>
      </w:r>
    </w:p>
    <w:p w:rsidR="00A75978" w:rsidRPr="00A629D5" w:rsidRDefault="00A75978" w:rsidP="00A75978">
      <w:pPr>
        <w:pStyle w:val="ListParagraph"/>
        <w:numPr>
          <w:ilvl w:val="0"/>
          <w:numId w:val="5"/>
        </w:numPr>
        <w:jc w:val="both"/>
        <w:rPr>
          <w:color w:val="676767"/>
        </w:rPr>
      </w:pPr>
      <w:r>
        <w:rPr>
          <w:color w:val="676767"/>
        </w:rPr>
        <w:t xml:space="preserve">Étiquettes ou indications mal placées</w:t>
      </w:r>
    </w:p>
    <w:p w:rsidR="00A75978" w:rsidRDefault="00A75978" w:rsidP="00A629D5">
      <w:pPr>
        <w:pStyle w:val="ListParagraph"/>
        <w:numPr>
          <w:ilvl w:val="0"/>
          <w:numId w:val="5"/>
        </w:numPr>
        <w:rPr>
          <w:color w:val="676767"/>
        </w:rPr>
      </w:pPr>
      <w:r>
        <w:rPr>
          <w:color w:val="676767"/>
        </w:rPr>
        <w:t xml:space="preserve">Défauts visibles des tissus imprimés :</w:t>
      </w:r>
      <w:r>
        <w:rPr>
          <w:color w:val="676767"/>
        </w:rPr>
        <w:t xml:space="preserve"> </w:t>
      </w:r>
    </w:p>
    <w:p w:rsidR="00936FAA" w:rsidRPr="00A629D5" w:rsidRDefault="00936FAA" w:rsidP="00936FAA">
      <w:pPr>
        <w:pStyle w:val="ListParagraph"/>
        <w:ind w:left="360"/>
        <w:rPr>
          <w:color w:val="676767"/>
        </w:rPr>
      </w:pPr>
    </w:p>
    <w:p w:rsidR="00A75978" w:rsidRPr="00A629D5" w:rsidRDefault="00A75978" w:rsidP="000E7723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>
        <w:rPr>
          <w:color w:val="676767"/>
        </w:rPr>
        <w:t xml:space="preserve">fil non coloré au bas sur plus de 2 mm, visible sur les bordures ;</w:t>
      </w:r>
    </w:p>
    <w:p w:rsidR="00A629D5" w:rsidRDefault="00A629D5" w:rsidP="000E7723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>
        <w:rPr>
          <w:color w:val="676767"/>
        </w:rPr>
        <w:t xml:space="preserve">éclaboussures de peinture ;</w:t>
      </w:r>
      <w:r>
        <w:rPr>
          <w:color w:val="676767"/>
        </w:rPr>
        <w:t xml:space="preserve"> </w:t>
      </w:r>
    </w:p>
    <w:p w:rsidR="00A75978" w:rsidRPr="00A629D5" w:rsidRDefault="00A75978" w:rsidP="000E7723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>
        <w:rPr>
          <w:color w:val="676767"/>
        </w:rPr>
        <w:t xml:space="preserve">effet givré, bandes ou dégorgement excessifs ;</w:t>
      </w:r>
      <w:r>
        <w:rPr>
          <w:color w:val="676767"/>
        </w:rPr>
        <w:t xml:space="preserve"> </w:t>
      </w:r>
    </w:p>
    <w:p w:rsidR="00A75978" w:rsidRPr="00A629D5" w:rsidRDefault="00A75978" w:rsidP="000E7723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>
        <w:rPr>
          <w:color w:val="676767"/>
        </w:rPr>
        <w:t xml:space="preserve">couleur ne correspondant pas à la commande ;</w:t>
      </w:r>
    </w:p>
    <w:p w:rsidR="00A75978" w:rsidRPr="00A629D5" w:rsidRDefault="00A75978" w:rsidP="000E7723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>
        <w:rPr>
          <w:color w:val="676767"/>
        </w:rPr>
        <w:t xml:space="preserve">écarts de largeur des bordures (plus de 5 mm) ;</w:t>
      </w:r>
    </w:p>
    <w:p w:rsidR="008E6DF6" w:rsidRPr="00A629D5" w:rsidRDefault="00A75978" w:rsidP="000E7723">
      <w:pPr>
        <w:pStyle w:val="ListParagraph"/>
        <w:numPr>
          <w:ilvl w:val="1"/>
          <w:numId w:val="13"/>
        </w:numPr>
        <w:ind w:left="1276" w:hanging="567"/>
        <w:rPr>
          <w:color w:val="676767"/>
        </w:rPr>
      </w:pPr>
      <w:r>
        <w:rPr>
          <w:color w:val="676767"/>
        </w:rPr>
        <w:t xml:space="preserve">logo décalé (écart par rapport à la bordure de plus de 3 mm).</w:t>
      </w:r>
    </w:p>
    <w:p w:rsidR="008E6DF6" w:rsidRDefault="008E6DF6" w:rsidP="00A75978">
      <w:pPr>
        <w:rPr>
          <w:color w:val="676767"/>
        </w:rPr>
      </w:pPr>
    </w:p>
    <w:p w:rsidR="00A629D5" w:rsidRDefault="00A629D5" w:rsidP="00A75978">
      <w:pPr>
        <w:rPr>
          <w:b/>
          <w:color w:val="676767"/>
        </w:rPr>
      </w:pPr>
    </w:p>
    <w:p w:rsidR="00A75978" w:rsidRPr="00A75978" w:rsidRDefault="00A75978" w:rsidP="00A75978">
      <w:pPr>
        <w:rPr>
          <w:color w:val="676767"/>
        </w:rPr>
      </w:pPr>
      <w:r>
        <w:rPr>
          <w:color w:val="676767"/>
          <w:b/>
        </w:rPr>
        <w:t xml:space="preserve">Défauts acceptables</w:t>
      </w:r>
      <w:r>
        <w:rPr>
          <w:color w:val="676767"/>
          <w:b/>
        </w:rPr>
        <w:t xml:space="preserve"> : ceux-ci ne serviront pas de fondement à une réclamation de la part du client.</w:t>
      </w:r>
      <w:r>
        <w:rPr>
          <w:color w:val="676767"/>
          <w:b/>
        </w:rPr>
        <w:t xml:space="preserve"> </w:t>
      </w:r>
      <w:r>
        <w:rPr>
          <w:color w:val="676767"/>
          <w:b/>
        </w:rPr>
        <w:t xml:space="preserve">Il s’agit de défauts esthétiques qui ne réduiront pas la durée de vie ou la performance</w:t>
      </w:r>
    </w:p>
    <w:p w:rsidR="00A75978" w:rsidRPr="00A75978" w:rsidRDefault="00A75978" w:rsidP="00A629D5">
      <w:pPr>
        <w:rPr>
          <w:color w:val="676767"/>
        </w:rPr>
      </w:pPr>
    </w:p>
    <w:p w:rsidR="00A75978" w:rsidRPr="00A629D5" w:rsidRDefault="00A75978" w:rsidP="00A629D5">
      <w:pPr>
        <w:pStyle w:val="ListParagraph"/>
        <w:numPr>
          <w:ilvl w:val="1"/>
          <w:numId w:val="17"/>
        </w:numPr>
        <w:rPr>
          <w:color w:val="676767"/>
        </w:rPr>
      </w:pPr>
      <w:r>
        <w:rPr>
          <w:color w:val="676767"/>
        </w:rPr>
        <w:t xml:space="preserve">Bordure irrégulière (ondulée) du tissu</w:t>
      </w:r>
    </w:p>
    <w:p w:rsidR="00A75978" w:rsidRPr="00A629D5" w:rsidRDefault="00A75978" w:rsidP="00A629D5">
      <w:pPr>
        <w:pStyle w:val="ListParagraph"/>
        <w:numPr>
          <w:ilvl w:val="1"/>
          <w:numId w:val="17"/>
        </w:numPr>
        <w:rPr>
          <w:color w:val="676767"/>
        </w:rPr>
      </w:pPr>
      <w:r>
        <w:rPr>
          <w:color w:val="676767"/>
        </w:rPr>
        <w:t xml:space="preserve">Bosselures/stries sur la semelle du tapis</w:t>
      </w:r>
    </w:p>
    <w:p w:rsidR="00A75978" w:rsidRPr="00A629D5" w:rsidRDefault="00A75978" w:rsidP="00A629D5">
      <w:pPr>
        <w:pStyle w:val="ListParagraph"/>
        <w:numPr>
          <w:ilvl w:val="1"/>
          <w:numId w:val="17"/>
        </w:numPr>
        <w:rPr>
          <w:color w:val="676767"/>
        </w:rPr>
      </w:pPr>
      <w:r>
        <w:rPr>
          <w:color w:val="676767"/>
        </w:rPr>
        <w:t xml:space="preserve">Rayures, lignes et marques superficielles sur la semelle du tapis</w:t>
      </w:r>
    </w:p>
    <w:p w:rsidR="00A75978" w:rsidRPr="00A629D5" w:rsidRDefault="00A75978" w:rsidP="00A629D5">
      <w:pPr>
        <w:pStyle w:val="ListParagraph"/>
        <w:numPr>
          <w:ilvl w:val="1"/>
          <w:numId w:val="17"/>
        </w:numPr>
        <w:rPr>
          <w:color w:val="676767"/>
        </w:rPr>
      </w:pPr>
      <w:r>
        <w:rPr>
          <w:color w:val="676767"/>
        </w:rPr>
        <w:t xml:space="preserve">Rayures, lignes et marques superficielles à la surface des bords</w:t>
      </w:r>
    </w:p>
    <w:p w:rsidR="00A75978" w:rsidRPr="00A629D5" w:rsidRDefault="00A75978" w:rsidP="00A629D5">
      <w:pPr>
        <w:pStyle w:val="ListParagraph"/>
        <w:numPr>
          <w:ilvl w:val="1"/>
          <w:numId w:val="17"/>
        </w:numPr>
        <w:rPr>
          <w:color w:val="676767"/>
        </w:rPr>
      </w:pPr>
      <w:r>
        <w:rPr>
          <w:color w:val="676767"/>
        </w:rPr>
        <w:t xml:space="preserve">Aspect brillant non uniforme du caoutchouc</w:t>
      </w:r>
    </w:p>
    <w:p w:rsidR="009B0C86" w:rsidRPr="00A629D5" w:rsidRDefault="00A75978" w:rsidP="00A629D5">
      <w:pPr>
        <w:pStyle w:val="ListParagraph"/>
        <w:numPr>
          <w:ilvl w:val="1"/>
          <w:numId w:val="17"/>
        </w:numPr>
        <w:rPr>
          <w:color w:val="676767"/>
        </w:rPr>
      </w:pPr>
      <w:r>
        <w:rPr>
          <w:color w:val="676767"/>
        </w:rPr>
        <w:t xml:space="preserve">Effet « arc-en-ciel » des bords en caoutchouc</w:t>
      </w:r>
    </w:p>
    <w:sectPr w:rsidR="009B0C86" w:rsidRPr="00A629D5" w:rsidSect="00406A42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96" w:rsidRDefault="00DC4096" w:rsidP="007B51F0">
      <w:pPr>
        <w:spacing w:after="0" w:line="240" w:lineRule="auto"/>
      </w:pPr>
      <w:r>
        <w:separator/>
      </w:r>
    </w:p>
  </w:endnote>
  <w:endnote w:type="continuationSeparator" w:id="0">
    <w:p w:rsidR="00DC4096" w:rsidRDefault="00DC4096" w:rsidP="007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1F0" w:rsidRPr="000057FD" w:rsidRDefault="000057FD" w:rsidP="000057FD">
    <w:pPr>
      <w:pStyle w:val="Footer"/>
    </w:pPr>
    <w:r>
      <w:drawing>
        <wp:inline distT="0" distB="0" distL="0" distR="0" wp14:anchorId="34977B95" wp14:editId="4E7A5884">
          <wp:extent cx="6188710" cy="40513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96" w:rsidRDefault="00DC4096" w:rsidP="007B51F0">
      <w:pPr>
        <w:spacing w:after="0" w:line="240" w:lineRule="auto"/>
      </w:pPr>
      <w:r>
        <w:separator/>
      </w:r>
    </w:p>
  </w:footnote>
  <w:footnote w:type="continuationSeparator" w:id="0">
    <w:p w:rsidR="00DC4096" w:rsidRDefault="00DC4096" w:rsidP="007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8"/>
      <w:gridCol w:w="4868"/>
    </w:tblGrid>
    <w:tr w:rsidR="00406A42" w:rsidRPr="000057FD" w:rsidTr="00D27E3D">
      <w:tc>
        <w:tcPr>
          <w:tcW w:w="4868" w:type="dxa"/>
        </w:tcPr>
        <w:p w:rsidR="00406A42" w:rsidRDefault="00D27E3D" w:rsidP="00D27E3D">
          <w:pPr>
            <w:pStyle w:val="Header"/>
            <w:rPr>
              <w:sz w:val="20"/>
            </w:rPr>
          </w:pPr>
          <w:r>
            <w:rPr>
              <w:sz w:val="20"/>
            </w:rPr>
            <w:drawing>
              <wp:inline distT="0" distB="0" distL="0" distR="0">
                <wp:extent cx="2705100" cy="64826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leen-Tex 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5100" cy="648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</w:tcPr>
        <w:p w:rsidR="00406A42" w:rsidRPr="000057FD" w:rsidRDefault="00406A42" w:rsidP="00406A42">
          <w:pPr>
            <w:pStyle w:val="Header"/>
            <w:jc w:val="right"/>
            <w:rPr>
              <w:color w:val="676767"/>
              <w:sz w:val="20"/>
              <w:lang w:val="de-AT"/>
            </w:rPr>
          </w:pPr>
        </w:p>
      </w:tc>
    </w:tr>
  </w:tbl>
  <w:p w:rsidR="007B51F0" w:rsidRPr="000057FD" w:rsidRDefault="007B51F0" w:rsidP="007B51F0">
    <w:pPr>
      <w:pStyle w:val="Header"/>
      <w:jc w:val="right"/>
      <w:rPr>
        <w:sz w:val="20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A9D"/>
    <w:multiLevelType w:val="hybridMultilevel"/>
    <w:tmpl w:val="8A7E7C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54A8C"/>
    <w:multiLevelType w:val="multilevel"/>
    <w:tmpl w:val="6776A842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1F73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E7B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95C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F70872"/>
    <w:multiLevelType w:val="hybridMultilevel"/>
    <w:tmpl w:val="0E4A867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1F44"/>
    <w:multiLevelType w:val="hybridMultilevel"/>
    <w:tmpl w:val="0D48D6B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21D7"/>
    <w:multiLevelType w:val="hybridMultilevel"/>
    <w:tmpl w:val="CD4A19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FE3155"/>
    <w:multiLevelType w:val="hybridMultilevel"/>
    <w:tmpl w:val="80ACBFE0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31C9"/>
    <w:multiLevelType w:val="hybridMultilevel"/>
    <w:tmpl w:val="2DAA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212F8"/>
    <w:multiLevelType w:val="hybridMultilevel"/>
    <w:tmpl w:val="CE84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4C6C"/>
    <w:multiLevelType w:val="multilevel"/>
    <w:tmpl w:val="1B32C2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DCC2C59"/>
    <w:multiLevelType w:val="hybridMultilevel"/>
    <w:tmpl w:val="F6862D9A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C498B"/>
    <w:multiLevelType w:val="multilevel"/>
    <w:tmpl w:val="35C06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008F0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662E48BB"/>
    <w:multiLevelType w:val="hybridMultilevel"/>
    <w:tmpl w:val="6116EDF8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132A"/>
    <w:multiLevelType w:val="hybridMultilevel"/>
    <w:tmpl w:val="EEF035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50FBA"/>
    <w:multiLevelType w:val="hybridMultilevel"/>
    <w:tmpl w:val="75F23956"/>
    <w:lvl w:ilvl="0" w:tplc="3D44D1C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77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5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  <w:num w:numId="16">
    <w:abstractNumId w:val="18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7"/>
    <w:rsid w:val="000057FD"/>
    <w:rsid w:val="00092C85"/>
    <w:rsid w:val="000C168B"/>
    <w:rsid w:val="000E7723"/>
    <w:rsid w:val="00401607"/>
    <w:rsid w:val="00406A42"/>
    <w:rsid w:val="004152D2"/>
    <w:rsid w:val="00475766"/>
    <w:rsid w:val="00560E5B"/>
    <w:rsid w:val="005A2BC0"/>
    <w:rsid w:val="00637F7E"/>
    <w:rsid w:val="00653A73"/>
    <w:rsid w:val="007245BC"/>
    <w:rsid w:val="007B51F0"/>
    <w:rsid w:val="008038BC"/>
    <w:rsid w:val="00860913"/>
    <w:rsid w:val="008E6DF6"/>
    <w:rsid w:val="00936FAA"/>
    <w:rsid w:val="009A4778"/>
    <w:rsid w:val="009B0C86"/>
    <w:rsid w:val="009C2DF7"/>
    <w:rsid w:val="00A629D5"/>
    <w:rsid w:val="00A75978"/>
    <w:rsid w:val="00AD0F8B"/>
    <w:rsid w:val="00C34B1A"/>
    <w:rsid w:val="00C46040"/>
    <w:rsid w:val="00C9392A"/>
    <w:rsid w:val="00D27E3D"/>
    <w:rsid w:val="00DC4096"/>
    <w:rsid w:val="00E225A4"/>
    <w:rsid w:val="00E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D4ED5-DBA7-42F1-B131-11F1010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T-Paragraph">
    <w:name w:val="KT - Paragraph"/>
    <w:basedOn w:val="NoSpacing"/>
    <w:link w:val="KT-ParagraphChar"/>
    <w:qFormat/>
    <w:rsid w:val="00C9392A"/>
    <w:pPr>
      <w:jc w:val="both"/>
    </w:pPr>
  </w:style>
  <w:style w:type="character" w:customStyle="1" w:styleId="KT-ParagraphChar">
    <w:name w:val="KT - Paragraph Char"/>
    <w:basedOn w:val="DefaultParagraphFont"/>
    <w:link w:val="KT-Paragraph"/>
    <w:rsid w:val="00C9392A"/>
  </w:style>
  <w:style w:type="paragraph" w:styleId="NoSpacing">
    <w:name w:val="No Spacing"/>
    <w:uiPriority w:val="1"/>
    <w:qFormat/>
    <w:rsid w:val="00C9392A"/>
    <w:pPr>
      <w:spacing w:after="0" w:line="240" w:lineRule="auto"/>
    </w:pPr>
  </w:style>
  <w:style w:type="paragraph" w:customStyle="1" w:styleId="KT-Title">
    <w:name w:val="KT - Title"/>
    <w:basedOn w:val="NoSpacing"/>
    <w:link w:val="KT-TitleChar"/>
    <w:qFormat/>
    <w:rsid w:val="00E83BC6"/>
    <w:pPr>
      <w:jc w:val="center"/>
    </w:pPr>
    <w:rPr>
      <w:b/>
      <w:sz w:val="36"/>
    </w:rPr>
  </w:style>
  <w:style w:type="character" w:customStyle="1" w:styleId="KT-TitleChar">
    <w:name w:val="KT - Title Char"/>
    <w:basedOn w:val="DefaultParagraphFont"/>
    <w:link w:val="KT-Title"/>
    <w:rsid w:val="00E83BC6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B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F0"/>
  </w:style>
  <w:style w:type="paragraph" w:styleId="Footer">
    <w:name w:val="footer"/>
    <w:basedOn w:val="Normal"/>
    <w:link w:val="FooterChar"/>
    <w:uiPriority w:val="99"/>
    <w:unhideWhenUsed/>
    <w:rsid w:val="007B5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F0"/>
  </w:style>
  <w:style w:type="table" w:styleId="TableGrid">
    <w:name w:val="Table Grid"/>
    <w:basedOn w:val="TableNormal"/>
    <w:uiPriority w:val="39"/>
    <w:rsid w:val="007B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Foster | Kleen-Tex UK</dc:creator>
  <cp:keywords/>
  <dc:description/>
  <cp:lastModifiedBy>KTUK - Nick Coward</cp:lastModifiedBy>
  <cp:revision>6</cp:revision>
  <dcterms:created xsi:type="dcterms:W3CDTF">2018-09-26T15:42:00Z</dcterms:created>
  <dcterms:modified xsi:type="dcterms:W3CDTF">2018-09-28T10:58:00Z</dcterms:modified>
</cp:coreProperties>
</file>