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77" w:rsidRDefault="00686377" w:rsidP="006511F7">
      <w:pPr>
        <w:rPr>
          <w:b/>
          <w:color w:val="3B3838" w:themeColor="background2" w:themeShade="40"/>
          <w:sz w:val="32"/>
          <w:szCs w:val="32"/>
          <w:lang w:val="es-ES"/>
        </w:rPr>
      </w:pPr>
    </w:p>
    <w:p w:rsidR="006511F7" w:rsidRPr="006511F7" w:rsidRDefault="006511F7" w:rsidP="006511F7">
      <w:pPr>
        <w:rPr>
          <w:b/>
          <w:color w:val="3B3838" w:themeColor="background2" w:themeShade="40"/>
          <w:sz w:val="32"/>
          <w:szCs w:val="32"/>
          <w:lang w:val="es-ES"/>
        </w:rPr>
      </w:pPr>
      <w:r w:rsidRPr="006511F7">
        <w:rPr>
          <w:b/>
          <w:color w:val="3B3838" w:themeColor="background2" w:themeShade="40"/>
          <w:sz w:val="32"/>
          <w:szCs w:val="32"/>
          <w:lang w:val="es-ES"/>
        </w:rPr>
        <w:t>GARANTÍA DE LAS ALFOMBRAS</w:t>
      </w:r>
    </w:p>
    <w:p w:rsidR="006511F7" w:rsidRPr="006511F7" w:rsidRDefault="006511F7" w:rsidP="006511F7">
      <w:pPr>
        <w:rPr>
          <w:color w:val="3B3838" w:themeColor="background2" w:themeShade="40"/>
          <w:lang w:val="es-ES"/>
        </w:rPr>
      </w:pPr>
      <w:r w:rsidRPr="006511F7">
        <w:rPr>
          <w:color w:val="3B3838" w:themeColor="background2" w:themeShade="40"/>
          <w:lang w:val="es-ES"/>
        </w:rPr>
        <w:t>Apéndice A:</w:t>
      </w:r>
    </w:p>
    <w:p w:rsidR="006511F7" w:rsidRPr="006511F7" w:rsidRDefault="006511F7" w:rsidP="006511F7">
      <w:pPr>
        <w:rPr>
          <w:color w:val="3B3838" w:themeColor="background2" w:themeShade="40"/>
          <w:lang w:val="es-ES"/>
        </w:rPr>
      </w:pPr>
      <w:r w:rsidRPr="006511F7">
        <w:rPr>
          <w:color w:val="3B3838" w:themeColor="background2" w:themeShade="40"/>
          <w:lang w:val="es-ES"/>
        </w:rPr>
        <w:t>Esta lista proporciona descripciones de lo que Kleen-Tex determina como defectos de fabricación y defectos cosméticos aceptables.</w:t>
      </w:r>
    </w:p>
    <w:p w:rsidR="006511F7" w:rsidRPr="006511F7" w:rsidRDefault="006511F7" w:rsidP="006511F7">
      <w:pPr>
        <w:rPr>
          <w:b/>
          <w:color w:val="3B3838" w:themeColor="background2" w:themeShade="40"/>
          <w:lang w:val="es-ES"/>
        </w:rPr>
      </w:pPr>
      <w:r w:rsidRPr="006511F7">
        <w:rPr>
          <w:b/>
          <w:color w:val="3B3838" w:themeColor="background2" w:themeShade="40"/>
          <w:lang w:val="es-ES"/>
        </w:rPr>
        <w:t>Defectos inaceptables: alfombras sujetas a reclamación por parte del cliente</w:t>
      </w:r>
    </w:p>
    <w:p w:rsidR="006511F7" w:rsidRDefault="006511F7" w:rsidP="006511F7">
      <w:pPr>
        <w:pStyle w:val="ListParagraph"/>
        <w:numPr>
          <w:ilvl w:val="0"/>
          <w:numId w:val="20"/>
        </w:numPr>
        <w:ind w:left="284" w:hanging="11"/>
        <w:rPr>
          <w:color w:val="3B3838" w:themeColor="background2" w:themeShade="40"/>
          <w:lang w:val="es-ES"/>
        </w:rPr>
      </w:pPr>
      <w:r w:rsidRPr="006511F7">
        <w:rPr>
          <w:color w:val="3B3838" w:themeColor="background2" w:themeShade="40"/>
          <w:lang w:val="es-ES"/>
        </w:rPr>
        <w:t>Desviación dimensional superior a ± 5%</w:t>
      </w:r>
    </w:p>
    <w:p w:rsidR="00686377" w:rsidRPr="006511F7" w:rsidRDefault="00686377" w:rsidP="00686377">
      <w:pPr>
        <w:pStyle w:val="ListParagraph"/>
        <w:ind w:left="284"/>
        <w:rPr>
          <w:color w:val="3B3838" w:themeColor="background2" w:themeShade="40"/>
          <w:lang w:val="es-ES"/>
        </w:rPr>
      </w:pPr>
    </w:p>
    <w:p w:rsidR="006511F7" w:rsidRPr="006511F7" w:rsidRDefault="006511F7" w:rsidP="006511F7">
      <w:pPr>
        <w:pStyle w:val="ListParagraph"/>
        <w:numPr>
          <w:ilvl w:val="0"/>
          <w:numId w:val="20"/>
        </w:numPr>
        <w:ind w:left="284" w:hanging="11"/>
        <w:rPr>
          <w:color w:val="3B3838" w:themeColor="background2" w:themeShade="40"/>
          <w:lang w:val="es-ES"/>
        </w:rPr>
      </w:pPr>
      <w:r w:rsidRPr="006511F7">
        <w:rPr>
          <w:color w:val="3B3838" w:themeColor="background2" w:themeShade="40"/>
          <w:lang w:val="es-ES"/>
        </w:rPr>
        <w:t>Grosor del borde:</w:t>
      </w:r>
    </w:p>
    <w:p w:rsidR="006511F7" w:rsidRPr="006511F7" w:rsidRDefault="006511F7" w:rsidP="006511F7">
      <w:pPr>
        <w:pStyle w:val="ListParagraph"/>
        <w:rPr>
          <w:color w:val="3B3838" w:themeColor="background2" w:themeShade="40"/>
          <w:lang w:val="es-ES"/>
        </w:rPr>
      </w:pPr>
      <w:r w:rsidRPr="006511F7">
        <w:rPr>
          <w:color w:val="3B3838" w:themeColor="background2" w:themeShade="40"/>
          <w:lang w:val="es-ES"/>
        </w:rPr>
        <w:t>2.1. Para alfombras de goma de 0,9 mm: inferior a 1,7 mm o superior a 2,3 mm</w:t>
      </w:r>
    </w:p>
    <w:p w:rsidR="006511F7" w:rsidRPr="006511F7" w:rsidRDefault="006511F7" w:rsidP="006511F7">
      <w:pPr>
        <w:pStyle w:val="ListParagraph"/>
        <w:rPr>
          <w:color w:val="3B3838" w:themeColor="background2" w:themeShade="40"/>
          <w:lang w:val="es-ES"/>
        </w:rPr>
      </w:pPr>
      <w:r w:rsidRPr="006511F7">
        <w:rPr>
          <w:color w:val="3B3838" w:themeColor="background2" w:themeShade="40"/>
          <w:lang w:val="es-ES"/>
        </w:rPr>
        <w:t>2.2. Para alfombras de goma de 1,4 mm: inferior a 2,2 mm o superior a 2,8 mm</w:t>
      </w:r>
    </w:p>
    <w:p w:rsidR="006511F7" w:rsidRPr="006511F7" w:rsidRDefault="006511F7" w:rsidP="006511F7">
      <w:pPr>
        <w:pStyle w:val="ListParagraph"/>
        <w:rPr>
          <w:color w:val="3B3838" w:themeColor="background2" w:themeShade="40"/>
          <w:lang w:val="es-ES"/>
        </w:rPr>
      </w:pPr>
      <w:r w:rsidRPr="006511F7">
        <w:rPr>
          <w:color w:val="3B3838" w:themeColor="background2" w:themeShade="40"/>
          <w:lang w:val="es-ES"/>
        </w:rPr>
        <w:t>2.3. Para alfombras de goma de 1,8 mm: inferior a 2,6 mm o superior a 3,2 mm</w:t>
      </w:r>
    </w:p>
    <w:p w:rsidR="006511F7" w:rsidRPr="006511F7" w:rsidRDefault="006511F7" w:rsidP="006511F7">
      <w:pPr>
        <w:pStyle w:val="ListParagraph"/>
        <w:rPr>
          <w:color w:val="3B3838" w:themeColor="background2" w:themeShade="40"/>
          <w:lang w:val="es-ES"/>
        </w:rPr>
      </w:pPr>
      <w:r w:rsidRPr="006511F7">
        <w:rPr>
          <w:color w:val="3B3838" w:themeColor="background2" w:themeShade="40"/>
          <w:lang w:val="es-ES"/>
        </w:rPr>
        <w:t>2.4. Para alfombras de goma de 2,8 mm: inferior a 3,6 mm o superior a 4,2 mm</w:t>
      </w:r>
    </w:p>
    <w:p w:rsidR="006511F7" w:rsidRPr="006511F7" w:rsidRDefault="006511F7" w:rsidP="006511F7">
      <w:pPr>
        <w:pStyle w:val="ListParagraph"/>
        <w:rPr>
          <w:color w:val="3B3838" w:themeColor="background2" w:themeShade="40"/>
          <w:lang w:val="es-ES"/>
        </w:rPr>
      </w:pPr>
      <w:r w:rsidRPr="006511F7">
        <w:rPr>
          <w:color w:val="3B3838" w:themeColor="background2" w:themeShade="40"/>
          <w:lang w:val="es-ES"/>
        </w:rPr>
        <w:t>2.5. Para alfombras de goma de 3,6 mm: inferior a 3,3 mm o superior a 4,0 mm</w:t>
      </w:r>
    </w:p>
    <w:p w:rsidR="00686377" w:rsidRPr="006511F7" w:rsidRDefault="006511F7" w:rsidP="00686377">
      <w:pPr>
        <w:ind w:left="284"/>
        <w:rPr>
          <w:color w:val="3B3838" w:themeColor="background2" w:themeShade="40"/>
          <w:lang w:val="es-ES"/>
        </w:rPr>
      </w:pPr>
      <w:r w:rsidRPr="006511F7">
        <w:rPr>
          <w:color w:val="3B3838" w:themeColor="background2" w:themeShade="40"/>
          <w:lang w:val="es-ES"/>
        </w:rPr>
        <w:t xml:space="preserve">3. Diferencias en los anchos de borde superiores a 2 </w:t>
      </w:r>
      <w:proofErr w:type="spellStart"/>
      <w:r w:rsidRPr="006511F7">
        <w:rPr>
          <w:color w:val="3B3838" w:themeColor="background2" w:themeShade="40"/>
          <w:lang w:val="es-ES"/>
        </w:rPr>
        <w:t>mm.</w:t>
      </w:r>
      <w:proofErr w:type="spellEnd"/>
    </w:p>
    <w:p w:rsidR="006511F7" w:rsidRPr="006511F7" w:rsidRDefault="006511F7" w:rsidP="006511F7">
      <w:pPr>
        <w:ind w:left="284"/>
        <w:rPr>
          <w:color w:val="3B3838" w:themeColor="background2" w:themeShade="40"/>
          <w:lang w:val="es-ES"/>
        </w:rPr>
      </w:pPr>
      <w:r w:rsidRPr="006511F7">
        <w:rPr>
          <w:color w:val="3B3838" w:themeColor="background2" w:themeShade="40"/>
          <w:lang w:val="es-ES"/>
        </w:rPr>
        <w:t>4. Ancho del borde:</w:t>
      </w:r>
    </w:p>
    <w:p w:rsidR="006511F7" w:rsidRPr="006511F7" w:rsidRDefault="006511F7" w:rsidP="006511F7">
      <w:pPr>
        <w:spacing w:after="0"/>
        <w:ind w:left="709"/>
        <w:rPr>
          <w:color w:val="3B3838" w:themeColor="background2" w:themeShade="40"/>
          <w:lang w:val="es-ES"/>
        </w:rPr>
      </w:pPr>
      <w:r w:rsidRPr="006511F7">
        <w:rPr>
          <w:color w:val="3B3838" w:themeColor="background2" w:themeShade="40"/>
          <w:lang w:val="es-ES"/>
        </w:rPr>
        <w:t>4.1. Para alfombras de 20 mm - menos de 18 mm o más de 22 mm</w:t>
      </w:r>
    </w:p>
    <w:p w:rsidR="006511F7" w:rsidRPr="006511F7" w:rsidRDefault="006511F7" w:rsidP="006511F7">
      <w:pPr>
        <w:spacing w:after="0"/>
        <w:ind w:left="709"/>
        <w:rPr>
          <w:color w:val="3B3838" w:themeColor="background2" w:themeShade="40"/>
          <w:lang w:val="es-ES"/>
        </w:rPr>
      </w:pPr>
      <w:r w:rsidRPr="006511F7">
        <w:rPr>
          <w:color w:val="3B3838" w:themeColor="background2" w:themeShade="40"/>
          <w:lang w:val="es-ES"/>
        </w:rPr>
        <w:t>4.2. Para alfombras con borde de 10 mm: menos de 9 mm o más de 11 mm</w:t>
      </w:r>
    </w:p>
    <w:p w:rsidR="006511F7" w:rsidRPr="006511F7" w:rsidRDefault="006511F7" w:rsidP="006511F7">
      <w:pPr>
        <w:spacing w:after="0"/>
        <w:rPr>
          <w:color w:val="3B3838" w:themeColor="background2" w:themeShade="40"/>
          <w:lang w:val="es-ES"/>
        </w:rPr>
      </w:pPr>
    </w:p>
    <w:p w:rsidR="006511F7" w:rsidRPr="006511F7" w:rsidRDefault="006511F7" w:rsidP="006511F7">
      <w:pPr>
        <w:ind w:left="284"/>
        <w:rPr>
          <w:color w:val="3B3838" w:themeColor="background2" w:themeShade="40"/>
          <w:lang w:val="es-ES"/>
        </w:rPr>
      </w:pPr>
      <w:r w:rsidRPr="006511F7">
        <w:rPr>
          <w:color w:val="3B3838" w:themeColor="background2" w:themeShade="40"/>
          <w:lang w:val="es-ES"/>
        </w:rPr>
        <w:t>5. Ranuras profundas y hendiduras en la superficie de los bordes.</w:t>
      </w:r>
      <w:r w:rsidR="00686377">
        <w:rPr>
          <w:color w:val="3B3838" w:themeColor="background2" w:themeShade="40"/>
          <w:lang w:val="es-ES"/>
        </w:rPr>
        <w:br/>
      </w:r>
      <w:r w:rsidRPr="006511F7">
        <w:rPr>
          <w:color w:val="3B3838" w:themeColor="background2" w:themeShade="40"/>
          <w:lang w:val="es-ES"/>
        </w:rPr>
        <w:t>6. Ranuras profundas y hendiduras en el dorso de la alfombra.</w:t>
      </w:r>
      <w:r w:rsidR="00686377">
        <w:rPr>
          <w:color w:val="3B3838" w:themeColor="background2" w:themeShade="40"/>
          <w:lang w:val="es-ES"/>
        </w:rPr>
        <w:br/>
      </w:r>
      <w:r w:rsidRPr="006511F7">
        <w:rPr>
          <w:color w:val="3B3838" w:themeColor="background2" w:themeShade="40"/>
          <w:lang w:val="es-ES"/>
        </w:rPr>
        <w:t>7. Cortes en los bordes.</w:t>
      </w:r>
      <w:r w:rsidR="00686377">
        <w:rPr>
          <w:color w:val="3B3838" w:themeColor="background2" w:themeShade="40"/>
          <w:lang w:val="es-ES"/>
        </w:rPr>
        <w:br/>
      </w:r>
      <w:r w:rsidRPr="006511F7">
        <w:rPr>
          <w:color w:val="3B3838" w:themeColor="background2" w:themeShade="40"/>
          <w:lang w:val="es-ES"/>
        </w:rPr>
        <w:t>8. Tejido no unido al caucho: el hilo se puede quitar con los dedos.</w:t>
      </w:r>
      <w:r w:rsidR="00686377">
        <w:rPr>
          <w:color w:val="3B3838" w:themeColor="background2" w:themeShade="40"/>
          <w:lang w:val="es-ES"/>
        </w:rPr>
        <w:br/>
      </w:r>
      <w:r w:rsidRPr="006511F7">
        <w:rPr>
          <w:color w:val="3B3838" w:themeColor="background2" w:themeShade="40"/>
          <w:lang w:val="es-ES"/>
        </w:rPr>
        <w:t>9. El caucho no está completamente vulcanizado: después de presionar con la uña sigue habiendo una marca de rastro.</w:t>
      </w:r>
      <w:r w:rsidR="00686377">
        <w:rPr>
          <w:color w:val="3B3838" w:themeColor="background2" w:themeShade="40"/>
          <w:lang w:val="es-ES"/>
        </w:rPr>
        <w:br/>
      </w:r>
      <w:r w:rsidRPr="006511F7">
        <w:rPr>
          <w:color w:val="3B3838" w:themeColor="background2" w:themeShade="40"/>
          <w:lang w:val="es-ES"/>
        </w:rPr>
        <w:t>10. Caucho mal curado - la goma se puede estirar a mano</w:t>
      </w:r>
      <w:r w:rsidR="00686377">
        <w:rPr>
          <w:color w:val="3B3838" w:themeColor="background2" w:themeShade="40"/>
          <w:lang w:val="es-ES"/>
        </w:rPr>
        <w:br/>
      </w:r>
      <w:r w:rsidRPr="006511F7">
        <w:rPr>
          <w:color w:val="3B3838" w:themeColor="background2" w:themeShade="40"/>
          <w:lang w:val="es-ES"/>
        </w:rPr>
        <w:t>11. No hay velcro o velcro adjunto al pedido</w:t>
      </w:r>
      <w:r w:rsidR="00686377">
        <w:rPr>
          <w:color w:val="3B3838" w:themeColor="background2" w:themeShade="40"/>
          <w:lang w:val="es-ES"/>
        </w:rPr>
        <w:br/>
      </w:r>
      <w:r w:rsidRPr="006511F7">
        <w:rPr>
          <w:color w:val="3B3838" w:themeColor="background2" w:themeShade="40"/>
          <w:lang w:val="es-ES"/>
        </w:rPr>
        <w:t>12. Etiquetas o marcas colocadas incorrectamente.</w:t>
      </w:r>
      <w:r w:rsidR="00686377">
        <w:rPr>
          <w:color w:val="3B3838" w:themeColor="background2" w:themeShade="40"/>
          <w:lang w:val="es-ES"/>
        </w:rPr>
        <w:br/>
      </w:r>
      <w:r w:rsidRPr="006511F7">
        <w:rPr>
          <w:color w:val="3B3838" w:themeColor="background2" w:themeShade="40"/>
          <w:lang w:val="es-ES"/>
        </w:rPr>
        <w:t>13. Defectos visibles de los tejidos impresos:</w:t>
      </w:r>
    </w:p>
    <w:p w:rsidR="006511F7" w:rsidRPr="006511F7" w:rsidRDefault="006511F7" w:rsidP="006511F7">
      <w:pPr>
        <w:ind w:left="709"/>
        <w:rPr>
          <w:color w:val="3B3838" w:themeColor="background2" w:themeShade="40"/>
          <w:lang w:val="es-ES"/>
        </w:rPr>
      </w:pPr>
      <w:r w:rsidRPr="006511F7">
        <w:rPr>
          <w:color w:val="3B3838" w:themeColor="background2" w:themeShade="40"/>
          <w:lang w:val="es-ES"/>
        </w:rPr>
        <w:t>13.1 Hilo no coloreado en la parte inferior por encima de 2 mm - se puede ver en los bordes</w:t>
      </w:r>
      <w:r w:rsidR="00686377">
        <w:rPr>
          <w:color w:val="3B3838" w:themeColor="background2" w:themeShade="40"/>
          <w:lang w:val="es-ES"/>
        </w:rPr>
        <w:br/>
      </w:r>
      <w:r w:rsidRPr="006511F7">
        <w:rPr>
          <w:color w:val="3B3838" w:themeColor="background2" w:themeShade="40"/>
          <w:lang w:val="es-ES"/>
        </w:rPr>
        <w:t>13.2 Derrames de tinte</w:t>
      </w:r>
      <w:r w:rsidR="00686377">
        <w:rPr>
          <w:color w:val="3B3838" w:themeColor="background2" w:themeShade="40"/>
          <w:lang w:val="es-ES"/>
        </w:rPr>
        <w:br/>
      </w:r>
      <w:r w:rsidRPr="006511F7">
        <w:rPr>
          <w:color w:val="3B3838" w:themeColor="background2" w:themeShade="40"/>
          <w:lang w:val="es-ES"/>
        </w:rPr>
        <w:t>13.3 Borrones, rayas, sangrado</w:t>
      </w:r>
      <w:r w:rsidR="00686377">
        <w:rPr>
          <w:color w:val="3B3838" w:themeColor="background2" w:themeShade="40"/>
          <w:lang w:val="es-ES"/>
        </w:rPr>
        <w:br/>
      </w:r>
      <w:r w:rsidRPr="006511F7">
        <w:rPr>
          <w:color w:val="3B3838" w:themeColor="background2" w:themeShade="40"/>
          <w:lang w:val="es-ES"/>
        </w:rPr>
        <w:t>13.4 Color incompatible con el pedido</w:t>
      </w:r>
      <w:r w:rsidR="00686377">
        <w:rPr>
          <w:color w:val="3B3838" w:themeColor="background2" w:themeShade="40"/>
          <w:lang w:val="es-ES"/>
        </w:rPr>
        <w:br/>
      </w:r>
      <w:r w:rsidRPr="006511F7">
        <w:rPr>
          <w:color w:val="3B3838" w:themeColor="background2" w:themeShade="40"/>
          <w:lang w:val="es-ES"/>
        </w:rPr>
        <w:t>13.5 Diferencias en el ancho de los marcos (más de 5 mm)</w:t>
      </w:r>
      <w:r w:rsidR="00686377">
        <w:rPr>
          <w:color w:val="3B3838" w:themeColor="background2" w:themeShade="40"/>
          <w:lang w:val="es-ES"/>
        </w:rPr>
        <w:br/>
      </w:r>
      <w:r w:rsidRPr="006511F7">
        <w:rPr>
          <w:color w:val="3B3838" w:themeColor="background2" w:themeShade="40"/>
          <w:lang w:val="es-ES"/>
        </w:rPr>
        <w:t>13.6 Logotipo desplazado</w:t>
      </w:r>
    </w:p>
    <w:p w:rsidR="006511F7" w:rsidRDefault="006511F7" w:rsidP="006511F7">
      <w:pPr>
        <w:rPr>
          <w:color w:val="3B3838" w:themeColor="background2" w:themeShade="40"/>
          <w:lang w:val="es-ES"/>
        </w:rPr>
      </w:pPr>
    </w:p>
    <w:p w:rsidR="00686377" w:rsidRDefault="00686377" w:rsidP="006511F7">
      <w:pPr>
        <w:rPr>
          <w:color w:val="3B3838" w:themeColor="background2" w:themeShade="40"/>
          <w:lang w:val="es-ES"/>
        </w:rPr>
      </w:pPr>
    </w:p>
    <w:p w:rsidR="00686377" w:rsidRDefault="00686377" w:rsidP="006511F7">
      <w:pPr>
        <w:rPr>
          <w:color w:val="3B3838" w:themeColor="background2" w:themeShade="40"/>
          <w:lang w:val="es-ES"/>
        </w:rPr>
      </w:pPr>
    </w:p>
    <w:p w:rsidR="00686377" w:rsidRPr="006511F7" w:rsidRDefault="00686377" w:rsidP="006511F7">
      <w:pPr>
        <w:rPr>
          <w:color w:val="3B3838" w:themeColor="background2" w:themeShade="40"/>
          <w:lang w:val="es-ES"/>
        </w:rPr>
      </w:pPr>
      <w:bookmarkStart w:id="0" w:name="_GoBack"/>
      <w:bookmarkEnd w:id="0"/>
    </w:p>
    <w:p w:rsidR="006511F7" w:rsidRDefault="006511F7" w:rsidP="006511F7">
      <w:pPr>
        <w:rPr>
          <w:b/>
          <w:color w:val="3B3838" w:themeColor="background2" w:themeShade="40"/>
          <w:lang w:val="es-ES"/>
        </w:rPr>
      </w:pPr>
      <w:r w:rsidRPr="006511F7">
        <w:rPr>
          <w:b/>
          <w:color w:val="3B3838" w:themeColor="background2" w:themeShade="40"/>
          <w:lang w:val="es-ES"/>
        </w:rPr>
        <w:t>Defectos aceptables: estos no formarán la base de una reclamación del cliente. Estos son fallos cosméticas y no acortarán la vida o el rendimiento.</w:t>
      </w:r>
    </w:p>
    <w:p w:rsidR="00686377" w:rsidRPr="006511F7" w:rsidRDefault="00686377" w:rsidP="006511F7">
      <w:pPr>
        <w:rPr>
          <w:b/>
          <w:color w:val="3B3838" w:themeColor="background2" w:themeShade="40"/>
          <w:lang w:val="es-ES"/>
        </w:rPr>
      </w:pPr>
    </w:p>
    <w:p w:rsidR="006511F7" w:rsidRPr="006511F7" w:rsidRDefault="006511F7" w:rsidP="006511F7">
      <w:pPr>
        <w:ind w:left="284"/>
        <w:rPr>
          <w:color w:val="3B3838" w:themeColor="background2" w:themeShade="40"/>
          <w:lang w:val="es-ES"/>
        </w:rPr>
      </w:pPr>
      <w:r w:rsidRPr="006511F7">
        <w:rPr>
          <w:color w:val="3B3838" w:themeColor="background2" w:themeShade="40"/>
          <w:lang w:val="es-ES"/>
        </w:rPr>
        <w:t>1. Borde desigual (ondulado) del tejido</w:t>
      </w:r>
      <w:r w:rsidR="00686377">
        <w:rPr>
          <w:color w:val="3B3838" w:themeColor="background2" w:themeShade="40"/>
          <w:lang w:val="es-ES"/>
        </w:rPr>
        <w:br/>
      </w:r>
      <w:r w:rsidRPr="006511F7">
        <w:rPr>
          <w:color w:val="3B3838" w:themeColor="background2" w:themeShade="40"/>
          <w:lang w:val="es-ES"/>
        </w:rPr>
        <w:t>2. Hilos / piezas de fibra en los bordes o la parte posterior de las alfombras</w:t>
      </w:r>
      <w:r w:rsidR="00686377">
        <w:rPr>
          <w:color w:val="3B3838" w:themeColor="background2" w:themeShade="40"/>
          <w:lang w:val="es-ES"/>
        </w:rPr>
        <w:br/>
      </w:r>
      <w:r w:rsidRPr="006511F7">
        <w:rPr>
          <w:color w:val="3B3838" w:themeColor="background2" w:themeShade="40"/>
          <w:lang w:val="es-ES"/>
        </w:rPr>
        <w:t>3. Pequeños bultos o surcos en el dorso de la alfombras</w:t>
      </w:r>
      <w:r w:rsidR="00686377">
        <w:rPr>
          <w:color w:val="3B3838" w:themeColor="background2" w:themeShade="40"/>
          <w:lang w:val="es-ES"/>
        </w:rPr>
        <w:br/>
      </w:r>
      <w:r w:rsidRPr="006511F7">
        <w:rPr>
          <w:color w:val="3B3838" w:themeColor="background2" w:themeShade="40"/>
          <w:lang w:val="es-ES"/>
        </w:rPr>
        <w:t>4. Pequeños rasguños en la superficie, líneas y hendiduras en el dorso de la alfombra</w:t>
      </w:r>
      <w:r w:rsidR="00686377">
        <w:rPr>
          <w:color w:val="3B3838" w:themeColor="background2" w:themeShade="40"/>
          <w:lang w:val="es-ES"/>
        </w:rPr>
        <w:br/>
      </w:r>
      <w:r w:rsidRPr="006511F7">
        <w:rPr>
          <w:color w:val="3B3838" w:themeColor="background2" w:themeShade="40"/>
          <w:lang w:val="es-ES"/>
        </w:rPr>
        <w:t>5. Pequeños rasguños, líneas y hendiduras en la superficie de los bordes.</w:t>
      </w:r>
      <w:r w:rsidR="00686377">
        <w:rPr>
          <w:color w:val="3B3838" w:themeColor="background2" w:themeShade="40"/>
          <w:lang w:val="es-ES"/>
        </w:rPr>
        <w:br/>
      </w:r>
      <w:r w:rsidRPr="006511F7">
        <w:rPr>
          <w:color w:val="3B3838" w:themeColor="background2" w:themeShade="40"/>
          <w:lang w:val="es-ES"/>
        </w:rPr>
        <w:t>6. Diferencias en el aspecto brillante del caucho.</w:t>
      </w:r>
      <w:r w:rsidR="00686377">
        <w:rPr>
          <w:color w:val="3B3838" w:themeColor="background2" w:themeShade="40"/>
          <w:lang w:val="es-ES"/>
        </w:rPr>
        <w:br/>
      </w:r>
      <w:r w:rsidRPr="006511F7">
        <w:rPr>
          <w:color w:val="3B3838" w:themeColor="background2" w:themeShade="40"/>
          <w:lang w:val="es-ES"/>
        </w:rPr>
        <w:t xml:space="preserve">7. Efecto '' </w:t>
      </w:r>
      <w:proofErr w:type="spellStart"/>
      <w:r w:rsidRPr="006511F7">
        <w:rPr>
          <w:color w:val="3B3838" w:themeColor="background2" w:themeShade="40"/>
          <w:lang w:val="es-ES"/>
        </w:rPr>
        <w:t>Rainbow</w:t>
      </w:r>
      <w:proofErr w:type="spellEnd"/>
      <w:r w:rsidRPr="006511F7">
        <w:rPr>
          <w:color w:val="3B3838" w:themeColor="background2" w:themeShade="40"/>
          <w:lang w:val="es-ES"/>
        </w:rPr>
        <w:t xml:space="preserve"> '' en los bordes de goma</w:t>
      </w:r>
    </w:p>
    <w:p w:rsidR="006511F7" w:rsidRPr="006511F7" w:rsidRDefault="006511F7" w:rsidP="006511F7">
      <w:pPr>
        <w:rPr>
          <w:color w:val="3B3838" w:themeColor="background2" w:themeShade="40"/>
          <w:lang w:val="es-ES"/>
        </w:rPr>
      </w:pPr>
    </w:p>
    <w:p w:rsidR="006511F7" w:rsidRPr="006511F7" w:rsidRDefault="006511F7" w:rsidP="006511F7">
      <w:pPr>
        <w:rPr>
          <w:color w:val="3B3838" w:themeColor="background2" w:themeShade="40"/>
          <w:lang w:val="es-ES"/>
        </w:rPr>
      </w:pPr>
    </w:p>
    <w:p w:rsidR="008E5A0B" w:rsidRPr="006511F7" w:rsidRDefault="008E5A0B" w:rsidP="006511F7"/>
    <w:sectPr w:rsidR="008E5A0B" w:rsidRPr="006511F7" w:rsidSect="00406A4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16D" w:rsidRDefault="00D6216D" w:rsidP="007B51F0">
      <w:pPr>
        <w:spacing w:after="0" w:line="240" w:lineRule="auto"/>
      </w:pPr>
      <w:r>
        <w:separator/>
      </w:r>
    </w:p>
  </w:endnote>
  <w:endnote w:type="continuationSeparator" w:id="0">
    <w:p w:rsidR="00D6216D" w:rsidRDefault="00D6216D" w:rsidP="007B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1F0" w:rsidRPr="000057FD" w:rsidRDefault="000057FD" w:rsidP="000057FD">
    <w:pPr>
      <w:pStyle w:val="Footer"/>
      <w:rPr>
        <w:lang w:val="de-AT"/>
      </w:rPr>
    </w:pPr>
    <w:r>
      <w:rPr>
        <w:noProof/>
        <w:lang w:val="en-US"/>
      </w:rPr>
      <w:drawing>
        <wp:inline distT="0" distB="0" distL="0" distR="0" wp14:anchorId="34977B95" wp14:editId="4E7A5884">
          <wp:extent cx="6188710" cy="405130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16D" w:rsidRDefault="00D6216D" w:rsidP="007B51F0">
      <w:pPr>
        <w:spacing w:after="0" w:line="240" w:lineRule="auto"/>
      </w:pPr>
      <w:r>
        <w:separator/>
      </w:r>
    </w:p>
  </w:footnote>
  <w:footnote w:type="continuationSeparator" w:id="0">
    <w:p w:rsidR="00D6216D" w:rsidRDefault="00D6216D" w:rsidP="007B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8"/>
      <w:gridCol w:w="4868"/>
    </w:tblGrid>
    <w:tr w:rsidR="00406A42" w:rsidRPr="000057FD" w:rsidTr="00D27E3D">
      <w:tc>
        <w:tcPr>
          <w:tcW w:w="4868" w:type="dxa"/>
        </w:tcPr>
        <w:p w:rsidR="00406A42" w:rsidRDefault="00D27E3D" w:rsidP="00D27E3D">
          <w:pPr>
            <w:pStyle w:val="Header"/>
            <w:rPr>
              <w:sz w:val="20"/>
            </w:rPr>
          </w:pPr>
          <w:r>
            <w:rPr>
              <w:noProof/>
              <w:sz w:val="20"/>
              <w:lang w:val="en-US"/>
            </w:rPr>
            <w:drawing>
              <wp:inline distT="0" distB="0" distL="0" distR="0">
                <wp:extent cx="2705100" cy="64826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leen-Tex Log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0" cy="6482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8" w:type="dxa"/>
        </w:tcPr>
        <w:p w:rsidR="00406A42" w:rsidRPr="000057FD" w:rsidRDefault="00406A42" w:rsidP="00406A42">
          <w:pPr>
            <w:pStyle w:val="Header"/>
            <w:jc w:val="right"/>
            <w:rPr>
              <w:color w:val="676767"/>
              <w:sz w:val="20"/>
              <w:lang w:val="de-AT"/>
            </w:rPr>
          </w:pPr>
        </w:p>
      </w:tc>
    </w:tr>
  </w:tbl>
  <w:p w:rsidR="007B51F0" w:rsidRPr="000057FD" w:rsidRDefault="007B51F0" w:rsidP="007B51F0">
    <w:pPr>
      <w:pStyle w:val="Header"/>
      <w:jc w:val="right"/>
      <w:rPr>
        <w:sz w:val="20"/>
        <w:lang w:val="de-A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6A9D"/>
    <w:multiLevelType w:val="hybridMultilevel"/>
    <w:tmpl w:val="8A7E7C4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54A8C"/>
    <w:multiLevelType w:val="multilevel"/>
    <w:tmpl w:val="6776A842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1F73D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CE7B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395C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F70872"/>
    <w:multiLevelType w:val="hybridMultilevel"/>
    <w:tmpl w:val="0E4A8678"/>
    <w:lvl w:ilvl="0" w:tplc="3D44D1C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E1F44"/>
    <w:multiLevelType w:val="hybridMultilevel"/>
    <w:tmpl w:val="0D48D6B8"/>
    <w:lvl w:ilvl="0" w:tplc="3D44D1C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B21D7"/>
    <w:multiLevelType w:val="hybridMultilevel"/>
    <w:tmpl w:val="CD4A19C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FE3155"/>
    <w:multiLevelType w:val="hybridMultilevel"/>
    <w:tmpl w:val="80ACBFE0"/>
    <w:lvl w:ilvl="0" w:tplc="3D44D1C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D51E1"/>
    <w:multiLevelType w:val="hybridMultilevel"/>
    <w:tmpl w:val="90687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331C9"/>
    <w:multiLevelType w:val="hybridMultilevel"/>
    <w:tmpl w:val="2DAA5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212F8"/>
    <w:multiLevelType w:val="hybridMultilevel"/>
    <w:tmpl w:val="CE843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24C6C"/>
    <w:multiLevelType w:val="multilevel"/>
    <w:tmpl w:val="1B32C2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5DCC2C59"/>
    <w:multiLevelType w:val="hybridMultilevel"/>
    <w:tmpl w:val="F6862D9A"/>
    <w:lvl w:ilvl="0" w:tplc="3D44D1C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C498B"/>
    <w:multiLevelType w:val="multilevel"/>
    <w:tmpl w:val="35C06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6008F0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6" w15:restartNumberingAfterBreak="0">
    <w:nsid w:val="662E48BB"/>
    <w:multiLevelType w:val="hybridMultilevel"/>
    <w:tmpl w:val="6116EDF8"/>
    <w:lvl w:ilvl="0" w:tplc="3D44D1C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A132A"/>
    <w:multiLevelType w:val="hybridMultilevel"/>
    <w:tmpl w:val="EEF035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B50FBA"/>
    <w:multiLevelType w:val="hybridMultilevel"/>
    <w:tmpl w:val="75F23956"/>
    <w:lvl w:ilvl="0" w:tplc="3D44D1C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77A0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16"/>
  </w:num>
  <w:num w:numId="5">
    <w:abstractNumId w:val="4"/>
  </w:num>
  <w:num w:numId="6">
    <w:abstractNumId w:val="7"/>
  </w:num>
  <w:num w:numId="7">
    <w:abstractNumId w:val="3"/>
  </w:num>
  <w:num w:numId="8">
    <w:abstractNumId w:val="12"/>
  </w:num>
  <w:num w:numId="9">
    <w:abstractNumId w:val="0"/>
  </w:num>
  <w:num w:numId="10">
    <w:abstractNumId w:val="11"/>
  </w:num>
  <w:num w:numId="11">
    <w:abstractNumId w:val="5"/>
  </w:num>
  <w:num w:numId="12">
    <w:abstractNumId w:val="2"/>
  </w:num>
  <w:num w:numId="13">
    <w:abstractNumId w:val="1"/>
  </w:num>
  <w:num w:numId="14">
    <w:abstractNumId w:val="8"/>
  </w:num>
  <w:num w:numId="15">
    <w:abstractNumId w:val="6"/>
  </w:num>
  <w:num w:numId="16">
    <w:abstractNumId w:val="19"/>
  </w:num>
  <w:num w:numId="17">
    <w:abstractNumId w:val="14"/>
  </w:num>
  <w:num w:numId="18">
    <w:abstractNumId w:val="1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07"/>
    <w:rsid w:val="000057FD"/>
    <w:rsid w:val="00092C85"/>
    <w:rsid w:val="000A519C"/>
    <w:rsid w:val="000C168B"/>
    <w:rsid w:val="000E7723"/>
    <w:rsid w:val="000F6F54"/>
    <w:rsid w:val="001125D6"/>
    <w:rsid w:val="001A66C6"/>
    <w:rsid w:val="001F225A"/>
    <w:rsid w:val="002A32F4"/>
    <w:rsid w:val="002B714B"/>
    <w:rsid w:val="0038168E"/>
    <w:rsid w:val="003C3054"/>
    <w:rsid w:val="00401607"/>
    <w:rsid w:val="00406A42"/>
    <w:rsid w:val="004152D2"/>
    <w:rsid w:val="00475766"/>
    <w:rsid w:val="004B04AF"/>
    <w:rsid w:val="00560E5B"/>
    <w:rsid w:val="005A2BC0"/>
    <w:rsid w:val="00637F7E"/>
    <w:rsid w:val="00647D3F"/>
    <w:rsid w:val="006511F7"/>
    <w:rsid w:val="00653A73"/>
    <w:rsid w:val="00686377"/>
    <w:rsid w:val="006A5E25"/>
    <w:rsid w:val="006F011A"/>
    <w:rsid w:val="007245BC"/>
    <w:rsid w:val="007B51F0"/>
    <w:rsid w:val="008038BC"/>
    <w:rsid w:val="008278C3"/>
    <w:rsid w:val="00860913"/>
    <w:rsid w:val="008E5A0B"/>
    <w:rsid w:val="008E6DF6"/>
    <w:rsid w:val="00936FAA"/>
    <w:rsid w:val="009821A9"/>
    <w:rsid w:val="009A4778"/>
    <w:rsid w:val="009B0C86"/>
    <w:rsid w:val="009C2DF7"/>
    <w:rsid w:val="00A629D5"/>
    <w:rsid w:val="00A75978"/>
    <w:rsid w:val="00AD0F8B"/>
    <w:rsid w:val="00B46AED"/>
    <w:rsid w:val="00C34B1A"/>
    <w:rsid w:val="00C46040"/>
    <w:rsid w:val="00C9392A"/>
    <w:rsid w:val="00D07ECE"/>
    <w:rsid w:val="00D27E3D"/>
    <w:rsid w:val="00D6216D"/>
    <w:rsid w:val="00DA3BC0"/>
    <w:rsid w:val="00DC4096"/>
    <w:rsid w:val="00E225A4"/>
    <w:rsid w:val="00E63976"/>
    <w:rsid w:val="00E83BC6"/>
    <w:rsid w:val="00EC42DF"/>
    <w:rsid w:val="00F7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4D4ED5-DBA7-42F1-B131-11F10106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T-Paragraph">
    <w:name w:val="KT - Paragraph"/>
    <w:basedOn w:val="NoSpacing"/>
    <w:link w:val="KT-ParagraphChar"/>
    <w:qFormat/>
    <w:rsid w:val="00C9392A"/>
    <w:pPr>
      <w:jc w:val="both"/>
    </w:pPr>
  </w:style>
  <w:style w:type="character" w:customStyle="1" w:styleId="KT-ParagraphChar">
    <w:name w:val="KT - Paragraph Char"/>
    <w:basedOn w:val="DefaultParagraphFont"/>
    <w:link w:val="KT-Paragraph"/>
    <w:rsid w:val="00C9392A"/>
  </w:style>
  <w:style w:type="paragraph" w:styleId="NoSpacing">
    <w:name w:val="No Spacing"/>
    <w:uiPriority w:val="1"/>
    <w:qFormat/>
    <w:rsid w:val="00C9392A"/>
    <w:pPr>
      <w:spacing w:after="0" w:line="240" w:lineRule="auto"/>
    </w:pPr>
  </w:style>
  <w:style w:type="paragraph" w:customStyle="1" w:styleId="KT-Title">
    <w:name w:val="KT - Title"/>
    <w:basedOn w:val="NoSpacing"/>
    <w:link w:val="KT-TitleChar"/>
    <w:qFormat/>
    <w:rsid w:val="00E83BC6"/>
    <w:pPr>
      <w:jc w:val="center"/>
    </w:pPr>
    <w:rPr>
      <w:b/>
      <w:sz w:val="36"/>
    </w:rPr>
  </w:style>
  <w:style w:type="character" w:customStyle="1" w:styleId="KT-TitleChar">
    <w:name w:val="KT - Title Char"/>
    <w:basedOn w:val="DefaultParagraphFont"/>
    <w:link w:val="KT-Title"/>
    <w:rsid w:val="00E83BC6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rsid w:val="007B5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1F0"/>
  </w:style>
  <w:style w:type="paragraph" w:styleId="Footer">
    <w:name w:val="footer"/>
    <w:basedOn w:val="Normal"/>
    <w:link w:val="FooterChar"/>
    <w:uiPriority w:val="99"/>
    <w:unhideWhenUsed/>
    <w:rsid w:val="007B5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1F0"/>
  </w:style>
  <w:style w:type="table" w:styleId="TableGrid">
    <w:name w:val="Table Grid"/>
    <w:basedOn w:val="TableNormal"/>
    <w:uiPriority w:val="39"/>
    <w:rsid w:val="007B5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5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Foster | Kleen-Tex UK</dc:creator>
  <cp:keywords/>
  <dc:description/>
  <cp:lastModifiedBy>Neil Foster</cp:lastModifiedBy>
  <cp:revision>5</cp:revision>
  <dcterms:created xsi:type="dcterms:W3CDTF">2018-10-08T10:17:00Z</dcterms:created>
  <dcterms:modified xsi:type="dcterms:W3CDTF">2019-09-03T07:00:00Z</dcterms:modified>
</cp:coreProperties>
</file>